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bookmarkStart w:colFirst="0" w:colLast="0" w:name="_heading=h.ihv636"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3">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bookmarkStart w:colFirst="0" w:colLast="0" w:name="_heading=h.gjdgxs" w:id="1"/>
      <w:bookmarkEnd w:id="1"/>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“Annual Revenue”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figures for accounting periods of other than 12 months should be scaled pro rata to produce a proforma figure for a 12 month period; and</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r w:rsidDel="00000000" w:rsidR="00000000" w:rsidRPr="00000000">
              <w:rPr>
                <w:rtl w:val="0"/>
              </w:rPr>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r w:rsidDel="00000000" w:rsidR="00000000" w:rsidRPr="00000000">
              <w:rPr>
                <w:rtl w:val="0"/>
              </w:rPr>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r w:rsidDel="00000000" w:rsidR="00000000" w:rsidRPr="00000000">
              <w:rPr>
                <w:rtl w:val="0"/>
              </w:rPr>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“Associates”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2.2 of this Schedule;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"Business Continuity Plan"</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2.3.2 of this Schedule;</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“Class 1 Transaction”</w:t>
            </w:r>
            <w:r w:rsidDel="00000000" w:rsidR="00000000" w:rsidRPr="00000000">
              <w:rPr>
                <w:rtl w:val="0"/>
              </w:rPr>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r w:rsidDel="00000000" w:rsidR="00000000" w:rsidRPr="00000000">
              <w:rPr>
                <w:rtl w:val="0"/>
              </w:rPr>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“Control”</w:t>
            </w:r>
            <w:r w:rsidDel="00000000" w:rsidR="00000000" w:rsidRPr="00000000">
              <w:rPr>
                <w:rtl w:val="0"/>
              </w:rPr>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rFonts w:ascii="Arial" w:cs="Arial" w:eastAsia="Arial" w:hAnsi="Arial"/>
                <w:b w:val="1"/>
                <w:sz w:val="24"/>
                <w:szCs w:val="24"/>
                <w:rtl w:val="0"/>
              </w:rPr>
              <w:t xml:space="preserve">Controls</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b w:val="1"/>
                <w:sz w:val="24"/>
                <w:szCs w:val="24"/>
                <w:rtl w:val="0"/>
              </w:rPr>
              <w:t xml:space="preserve">Controlled</w:t>
            </w:r>
            <w:r w:rsidDel="00000000" w:rsidR="00000000" w:rsidRPr="00000000">
              <w:rPr>
                <w:rFonts w:ascii="Arial" w:cs="Arial" w:eastAsia="Arial" w:hAnsi="Arial"/>
                <w:sz w:val="24"/>
                <w:szCs w:val="24"/>
                <w:rtl w:val="0"/>
              </w:rPr>
              <w:t xml:space="preserve">” shall be interpreted accordingly;</w:t>
            </w:r>
            <w:r w:rsidDel="00000000" w:rsidR="00000000" w:rsidRPr="00000000">
              <w:rPr>
                <w:rtl w:val="0"/>
              </w:rPr>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“Corporate Change Event”</w:t>
            </w:r>
            <w:r w:rsidDel="00000000" w:rsidR="00000000" w:rsidRPr="00000000">
              <w:rPr>
                <w:rtl w:val="0"/>
              </w:rPr>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w:t>
            </w:r>
          </w:p>
          <w:p w:rsidR="00000000" w:rsidDel="00000000" w:rsidP="00000000" w:rsidRDefault="00000000" w:rsidRPr="00000000" w14:paraId="00000017">
            <w:pPr>
              <w:numPr>
                <w:ilvl w:val="3"/>
                <w:numId w:val="4"/>
              </w:numPr>
              <w:pBdr>
                <w:top w:space="0" w:sz="0" w:val="nil"/>
                <w:left w:space="0" w:sz="0" w:val="nil"/>
                <w:bottom w:space="0" w:sz="0" w:val="nil"/>
                <w:right w:space="0" w:sz="0" w:val="nil"/>
                <w:between w:space="0" w:sz="0" w:val="nil"/>
              </w:pBdr>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of Control of the Supplier or a Parent Undertaking of the Supplier;</w:t>
            </w:r>
          </w:p>
          <w:p w:rsidR="00000000" w:rsidDel="00000000" w:rsidP="00000000" w:rsidRDefault="00000000" w:rsidRPr="00000000" w14:paraId="00000018">
            <w:pPr>
              <w:numPr>
                <w:ilvl w:val="3"/>
                <w:numId w:val="4"/>
              </w:numPr>
              <w:pBdr>
                <w:top w:space="0" w:sz="0" w:val="nil"/>
                <w:left w:space="0" w:sz="0" w:val="nil"/>
                <w:bottom w:space="0" w:sz="0" w:val="nil"/>
                <w:right w:space="0" w:sz="0" w:val="nil"/>
                <w:between w:space="0" w:sz="0" w:val="nil"/>
              </w:pBdr>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9">
            <w:pPr>
              <w:numPr>
                <w:ilvl w:val="3"/>
                <w:numId w:val="4"/>
              </w:numPr>
              <w:pBdr>
                <w:top w:space="0" w:sz="0" w:val="nil"/>
                <w:left w:space="0" w:sz="0" w:val="nil"/>
                <w:bottom w:space="0" w:sz="0" w:val="nil"/>
                <w:right w:space="0" w:sz="0" w:val="nil"/>
                <w:between w:space="0" w:sz="0" w:val="nil"/>
              </w:pBdr>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A">
            <w:pPr>
              <w:numPr>
                <w:ilvl w:val="3"/>
                <w:numId w:val="4"/>
              </w:numPr>
              <w:pBdr>
                <w:top w:space="0" w:sz="0" w:val="nil"/>
                <w:left w:space="0" w:sz="0" w:val="nil"/>
                <w:bottom w:space="0" w:sz="0" w:val="nil"/>
                <w:right w:space="0" w:sz="0" w:val="nil"/>
                <w:between w:space="0" w:sz="0" w:val="nil"/>
              </w:pBdr>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B">
            <w:pPr>
              <w:numPr>
                <w:ilvl w:val="3"/>
                <w:numId w:val="4"/>
              </w:numPr>
              <w:pBdr>
                <w:top w:space="0" w:sz="0" w:val="nil"/>
                <w:left w:space="0" w:sz="0" w:val="nil"/>
                <w:bottom w:space="0" w:sz="0" w:val="nil"/>
                <w:right w:space="0" w:sz="0" w:val="nil"/>
                <w:between w:space="0" w:sz="0" w:val="nil"/>
              </w:pBdr>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C">
            <w:pPr>
              <w:numPr>
                <w:ilvl w:val="3"/>
                <w:numId w:val="4"/>
              </w:numPr>
              <w:pBdr>
                <w:top w:space="0" w:sz="0" w:val="nil"/>
                <w:left w:space="0" w:sz="0" w:val="nil"/>
                <w:bottom w:space="0" w:sz="0" w:val="nil"/>
                <w:right w:space="0" w:sz="0" w:val="nil"/>
                <w:between w:space="0" w:sz="0" w:val="nil"/>
              </w:pBdr>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1D">
            <w:pPr>
              <w:numPr>
                <w:ilvl w:val="3"/>
                <w:numId w:val="4"/>
              </w:numPr>
              <w:pBdr>
                <w:top w:space="0" w:sz="0" w:val="nil"/>
                <w:left w:space="0" w:sz="0" w:val="nil"/>
                <w:bottom w:space="0" w:sz="0" w:val="nil"/>
                <w:right w:space="0" w:sz="0" w:val="nil"/>
                <w:between w:space="0" w:sz="0" w:val="nil"/>
              </w:pBdr>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order is made or an effective resolution is passed for the winding up of any member of the Supplier Group; </w:t>
            </w:r>
          </w:p>
          <w:p w:rsidR="00000000" w:rsidDel="00000000" w:rsidP="00000000" w:rsidRDefault="00000000" w:rsidRPr="00000000" w14:paraId="0000001E">
            <w:pPr>
              <w:numPr>
                <w:ilvl w:val="3"/>
                <w:numId w:val="4"/>
              </w:numPr>
              <w:pBdr>
                <w:top w:space="0" w:sz="0" w:val="nil"/>
                <w:left w:space="0" w:sz="0" w:val="nil"/>
                <w:bottom w:space="0" w:sz="0" w:val="nil"/>
                <w:right w:space="0" w:sz="0" w:val="nil"/>
                <w:between w:space="0" w:sz="0" w:val="nil"/>
              </w:pBdr>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1F">
            <w:pPr>
              <w:numPr>
                <w:ilvl w:val="3"/>
                <w:numId w:val="4"/>
              </w:numPr>
              <w:pBdr>
                <w:top w:space="0" w:sz="0" w:val="nil"/>
                <w:left w:space="0" w:sz="0" w:val="nil"/>
                <w:bottom w:space="0" w:sz="0" w:val="nil"/>
                <w:right w:space="0" w:sz="0" w:val="nil"/>
                <w:between w:space="0" w:sz="0" w:val="nil"/>
              </w:pBdr>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20">
            <w:pPr>
              <w:numPr>
                <w:ilvl w:val="3"/>
                <w:numId w:val="4"/>
              </w:numPr>
              <w:pBdr>
                <w:top w:space="0" w:sz="0" w:val="nil"/>
                <w:left w:space="0" w:sz="0" w:val="nil"/>
                <w:bottom w:space="0" w:sz="0" w:val="nil"/>
                <w:right w:space="0" w:sz="0" w:val="nil"/>
                <w:between w:space="0" w:sz="0" w:val="nil"/>
              </w:pBdr>
              <w:spacing w:after="2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National Infrastructure”</w:t>
            </w:r>
            <w:r w:rsidDel="00000000" w:rsidR="00000000" w:rsidRPr="00000000">
              <w:rPr>
                <w:rtl w:val="0"/>
              </w:rPr>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r w:rsidDel="00000000" w:rsidR="00000000" w:rsidRPr="00000000">
              <w:rPr>
                <w:rtl w:val="0"/>
              </w:rPr>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Service Contract”</w:t>
            </w: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service contract which the Buyer has categorised as a Gold Contract </w:t>
            </w:r>
            <w:r w:rsidDel="00000000" w:rsidR="00000000" w:rsidRPr="00000000">
              <w:rPr>
                <w:rFonts w:ascii="Arial" w:cs="Arial" w:eastAsia="Arial" w:hAnsi="Arial"/>
                <w:color w:val="000000"/>
                <w:sz w:val="24"/>
                <w:szCs w:val="24"/>
                <w:rtl w:val="0"/>
              </w:rPr>
              <w:t xml:space="preserve">using the Cabinet Office Contract Tiering Tool</w:t>
            </w:r>
            <w:r w:rsidDel="00000000" w:rsidR="00000000" w:rsidRPr="00000000">
              <w:rPr>
                <w:rFonts w:ascii="Arial" w:cs="Arial" w:eastAsia="Arial" w:hAnsi="Arial"/>
                <w:sz w:val="24"/>
                <w:szCs w:val="24"/>
                <w:rtl w:val="0"/>
              </w:rPr>
              <w:t xml:space="preserve"> or which the Buyer otherwise considers should be classed as a Critical Service Contract;</w:t>
            </w:r>
            <w:r w:rsidDel="00000000" w:rsidR="00000000" w:rsidRPr="00000000">
              <w:rPr>
                <w:rtl w:val="0"/>
              </w:rPr>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“CRP Information”</w:t>
            </w: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together, the:</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Group Structure Information and Resolution Commentary; and</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UK Public Sector and CNI Contract Information;</w:t>
            </w:r>
            <w:r w:rsidDel="00000000" w:rsidR="00000000" w:rsidRPr="00000000">
              <w:rPr>
                <w:rtl w:val="0"/>
              </w:rPr>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“Dependent Parent Undertaking”</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bookmarkStart w:colFirst="0" w:colLast="0" w:name="_heading=h.3whwml4" w:id="2"/>
            <w:bookmarkEnd w:id="2"/>
            <w:r w:rsidDel="00000000" w:rsidR="00000000" w:rsidRPr="00000000">
              <w:rPr>
                <w:rFonts w:ascii="Arial" w:cs="Arial" w:eastAsia="Arial" w:hAnsi="Arial"/>
                <w:b w:val="1"/>
                <w:color w:val="000000"/>
                <w:sz w:val="24"/>
                <w:szCs w:val="24"/>
                <w:rtl w:val="0"/>
              </w:rPr>
              <w:t xml:space="preserve">"Disaster"</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bookmarkStart w:colFirst="0" w:colLast="0" w:name="_heading=h.30j0zll" w:id="3"/>
            <w:bookmarkEnd w:id="3"/>
            <w:r w:rsidDel="00000000" w:rsidR="00000000" w:rsidRPr="00000000">
              <w:rPr>
                <w:rFonts w:ascii="Arial" w:cs="Arial" w:eastAsia="Arial" w:hAnsi="Arial"/>
                <w:color w:val="000000"/>
                <w:sz w:val="24"/>
                <w:szCs w:val="24"/>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Deliverables"</w:t>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pos="-9"/>
                <w:tab w:val="left" w:pos="-17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Plan"</w:t>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2.3.3 of this Schedule;</w:t>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System"</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system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“Group Structure Information and Resolution Commentary”</w:t>
            </w:r>
            <w:r w:rsidDel="00000000" w:rsidR="00000000" w:rsidRPr="00000000">
              <w:rPr>
                <w:rtl w:val="0"/>
              </w:rPr>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and Appendix 1 to Part B;</w:t>
            </w:r>
            <w:r w:rsidDel="00000000" w:rsidR="00000000" w:rsidRPr="00000000">
              <w:rPr>
                <w:rtl w:val="0"/>
              </w:rPr>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“Public Sector Dependent Supplier”</w:t>
            </w:r>
            <w:r w:rsidDel="00000000" w:rsidR="00000000" w:rsidRPr="00000000">
              <w:rPr>
                <w:rtl w:val="0"/>
              </w:rPr>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"Related Supplier"</w:t>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"Review Report"</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this Schedule;</w:t>
            </w:r>
          </w:p>
        </w:tc>
      </w:tr>
      <w:tr>
        <w:trPr>
          <w:cantSplit w:val="0"/>
          <w:trHeight w:val="567" w:hRule="atLeast"/>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“Strategic Supplier”</w:t>
            </w:r>
          </w:p>
        </w:tc>
        <w:tc>
          <w:tcPr/>
          <w:p w:rsidR="00000000" w:rsidDel="00000000" w:rsidP="00000000" w:rsidRDefault="00000000" w:rsidRPr="00000000" w14:paraId="00000040">
            <w:pPr>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suppliers to government listed at</w:t>
            </w:r>
          </w:p>
          <w:p w:rsidR="00000000" w:rsidDel="00000000" w:rsidP="00000000" w:rsidRDefault="00000000" w:rsidRPr="00000000" w14:paraId="00000041">
            <w:pPr>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https://www.gov.uk/government/publications/strategic-suppliers;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w:t>
            </w:r>
            <w:r w:rsidDel="00000000" w:rsidR="00000000" w:rsidRPr="00000000">
              <w:rPr>
                <w:rtl w:val="0"/>
              </w:rPr>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Proposals"</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this Schedule;</w:t>
            </w:r>
          </w:p>
        </w:tc>
      </w:tr>
      <w:tr>
        <w:trPr>
          <w:cantSplit w:val="0"/>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Business”</w:t>
            </w:r>
            <w:r w:rsidDel="00000000" w:rsidR="00000000" w:rsidRPr="00000000">
              <w:rPr>
                <w:rtl w:val="0"/>
              </w:rPr>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r w:rsidDel="00000000" w:rsidR="00000000" w:rsidRPr="00000000">
              <w:rPr>
                <w:rtl w:val="0"/>
              </w:rPr>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 CNI Contract Information”</w:t>
            </w:r>
            <w:r w:rsidDel="00000000" w:rsidR="00000000" w:rsidRPr="00000000">
              <w:rPr>
                <w:rtl w:val="0"/>
              </w:rPr>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and Appendix 2 of Part B;</w:t>
            </w:r>
            <w:r w:rsidDel="00000000" w:rsidR="00000000" w:rsidRPr="00000000">
              <w:rPr>
                <w:rtl w:val="0"/>
              </w:rPr>
            </w:r>
          </w:p>
        </w:tc>
      </w:tr>
    </w:tbl>
    <w:p w:rsidR="00000000" w:rsidDel="00000000" w:rsidP="00000000" w:rsidRDefault="00000000" w:rsidRPr="00000000" w14:paraId="0000004C">
      <w:pPr>
        <w:keepNext w:val="1"/>
        <w:pBdr>
          <w:top w:space="0" w:sz="0" w:val="nil"/>
          <w:left w:space="0" w:sz="0" w:val="nil"/>
          <w:bottom w:space="0" w:sz="0" w:val="nil"/>
          <w:right w:space="0" w:sz="0" w:val="nil"/>
          <w:between w:space="0" w:sz="0" w:val="nil"/>
        </w:pBdr>
        <w:tabs>
          <w:tab w:val="left" w:pos="0"/>
        </w:tabs>
        <w:spacing w:before="240" w:lineRule="auto"/>
        <w:ind w:left="720" w:firstLine="0"/>
        <w:jc w:val="left"/>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04D">
      <w:pPr>
        <w:ind w:firstLine="1418"/>
        <w:rPr>
          <w:rFonts w:ascii="Arial Bold" w:cs="Arial Bold" w:eastAsia="Arial Bold" w:hAnsi="Arial Bold"/>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Part A: BCDR Plan</w:t>
      </w:r>
    </w:p>
    <w:p w:rsidR="00000000" w:rsidDel="00000000" w:rsidP="00000000" w:rsidRDefault="00000000" w:rsidRPr="00000000" w14:paraId="0000004F">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50">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fob9te" w:id="4"/>
      <w:bookmarkEnd w:id="4"/>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1">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52">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53">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54">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divided into four sections:</w:t>
      </w:r>
    </w:p>
    <w:p w:rsidR="00000000" w:rsidDel="00000000" w:rsidP="00000000" w:rsidRDefault="00000000" w:rsidRPr="00000000" w14:paraId="00000055">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3znysh7" w:id="5"/>
      <w:bookmarkEnd w:id="5"/>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56">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et92p0" w:id="6"/>
      <w:bookmarkEnd w:id="6"/>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w:t>
      </w:r>
    </w:p>
    <w:p w:rsidR="00000000" w:rsidDel="00000000" w:rsidP="00000000" w:rsidRDefault="00000000" w:rsidRPr="00000000" w14:paraId="00000057">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tyjcwt" w:id="7"/>
      <w:bookmarkEnd w:id="7"/>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and</w:t>
      </w:r>
    </w:p>
    <w:p w:rsidR="00000000" w:rsidDel="00000000" w:rsidP="00000000" w:rsidRDefault="00000000" w:rsidRPr="00000000" w14:paraId="00000058">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Section 4 which shall relate to an Insolvency Event of the Supplier, and Key-Subcontractors and/or any Supplier Group member (the “</w:t>
      </w:r>
      <w:r w:rsidDel="00000000" w:rsidR="00000000" w:rsidRPr="00000000">
        <w:rPr>
          <w:b w:val="1"/>
          <w:color w:val="000000"/>
          <w:sz w:val="24"/>
          <w:szCs w:val="24"/>
          <w:rtl w:val="0"/>
        </w:rPr>
        <w:t xml:space="preserve">Insolvency Continuity Plan</w:t>
      </w:r>
      <w:r w:rsidDel="00000000" w:rsidR="00000000" w:rsidRPr="00000000">
        <w:rPr>
          <w:color w:val="000000"/>
          <w:sz w:val="24"/>
          <w:szCs w:val="24"/>
          <w:rtl w:val="0"/>
        </w:rPr>
        <w:t xml:space="preserve">”). </w:t>
      </w:r>
    </w:p>
    <w:p w:rsidR="00000000" w:rsidDel="00000000" w:rsidP="00000000" w:rsidRDefault="00000000" w:rsidRPr="00000000" w14:paraId="00000059">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dy6vkm" w:id="8"/>
      <w:bookmarkEnd w:id="8"/>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5A">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bookmarkStart w:colFirst="0" w:colLast="0" w:name="_heading=h.1t3h5sf" w:id="9"/>
      <w:bookmarkEnd w:id="9"/>
      <w:r w:rsidDel="00000000" w:rsidR="00000000" w:rsidRPr="00000000">
        <w:rPr>
          <w:rFonts w:ascii="Arial Bold" w:cs="Arial Bold" w:eastAsia="Arial Bold" w:hAnsi="Arial Bold"/>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5B">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2hioqz" w:id="10"/>
      <w:bookmarkEnd w:id="10"/>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5C">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1ci93xb" w:id="11"/>
      <w:bookmarkEnd w:id="11"/>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5D">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5E">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5F">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60">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61">
      <w:pPr>
        <w:keepNext w:val="1"/>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62">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63">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64">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65">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66">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67">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68">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69">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6A">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w:t>
      </w:r>
    </w:p>
    <w:p w:rsidR="00000000" w:rsidDel="00000000" w:rsidP="00000000" w:rsidRDefault="00000000" w:rsidRPr="00000000" w14:paraId="0000006B">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6C">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1hmsyys" w:id="12"/>
      <w:bookmarkEnd w:id="12"/>
      <w:r w:rsidDel="00000000" w:rsidR="00000000" w:rsidRPr="00000000">
        <w:rPr>
          <w:color w:val="000000"/>
          <w:sz w:val="24"/>
          <w:szCs w:val="24"/>
          <w:rtl w:val="0"/>
        </w:rPr>
        <w:t xml:space="preserve">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6D">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6E">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41mghml" w:id="13"/>
      <w:bookmarkEnd w:id="13"/>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6F">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70">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71">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72">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73">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74">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75">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76">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77">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d34og8" w:id="14"/>
      <w:bookmarkEnd w:id="14"/>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78">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79">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7A">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7B">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7C">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s8eyo1" w:id="15"/>
      <w:bookmarkEnd w:id="15"/>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7D">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7E">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7F">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80">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7dp8vu" w:id="16"/>
      <w:bookmarkEnd w:id="16"/>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81">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82">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83">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84">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85">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86">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87">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88">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89">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8A">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8B">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8C">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8D">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8E">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8F">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20" w:hanging="720"/>
        <w:jc w:val="left"/>
        <w:rPr>
          <w:rFonts w:ascii="Arial Bold" w:cs="Arial Bold" w:eastAsia="Arial Bold" w:hAnsi="Arial Bold"/>
          <w:b w:val="1"/>
          <w:color w:val="000000"/>
          <w:sz w:val="24"/>
          <w:szCs w:val="24"/>
        </w:rPr>
      </w:pPr>
      <w:bookmarkStart w:colFirst="0" w:colLast="0" w:name="_heading=h.2grqrue" w:id="17"/>
      <w:bookmarkEnd w:id="17"/>
      <w:r w:rsidDel="00000000" w:rsidR="00000000" w:rsidRPr="00000000">
        <w:rPr>
          <w:rFonts w:ascii="Arial Bold" w:cs="Arial Bold" w:eastAsia="Arial Bold" w:hAnsi="Arial Bold"/>
          <w:b w:val="1"/>
          <w:color w:val="000000"/>
          <w:sz w:val="24"/>
          <w:szCs w:val="24"/>
          <w:rtl w:val="0"/>
        </w:rPr>
        <w:t xml:space="preserve">Insolvency Continuity Plan (Section 4)</w:t>
      </w:r>
    </w:p>
    <w:p w:rsidR="00000000" w:rsidDel="00000000" w:rsidP="00000000" w:rsidRDefault="00000000" w:rsidRPr="00000000" w14:paraId="00000090">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91">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include the following:</w:t>
      </w:r>
    </w:p>
    <w:p w:rsidR="00000000" w:rsidDel="00000000" w:rsidP="00000000" w:rsidRDefault="00000000" w:rsidRPr="00000000" w14:paraId="00000092">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93">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94">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plans to manage and mitigate identified risks;</w:t>
      </w:r>
    </w:p>
    <w:p w:rsidR="00000000" w:rsidDel="00000000" w:rsidP="00000000" w:rsidRDefault="00000000" w:rsidRPr="00000000" w14:paraId="00000095">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96">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97">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98">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99">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rdcrjn" w:id="18"/>
      <w:bookmarkEnd w:id="18"/>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9A">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6in1rg" w:id="19"/>
      <w:bookmarkEnd w:id="19"/>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9B">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lnxbz9" w:id="20"/>
      <w:bookmarkEnd w:id="20"/>
      <w:r w:rsidDel="00000000" w:rsidR="00000000" w:rsidRPr="00000000">
        <w:rPr>
          <w:color w:val="000000"/>
          <w:sz w:val="24"/>
          <w:szCs w:val="24"/>
          <w:rtl w:val="0"/>
        </w:rPr>
        <w:t xml:space="preserve">within three (3) calendar Months of the BCDR Plan (or any part) having been invoked pursuant to Paragraph 8; and</w:t>
      </w:r>
    </w:p>
    <w:p w:rsidR="00000000" w:rsidDel="00000000" w:rsidP="00000000" w:rsidRDefault="00000000" w:rsidRPr="00000000" w14:paraId="0000009C">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35nkun2" w:id="21"/>
      <w:bookmarkEnd w:id="21"/>
      <w:r w:rsidDel="00000000" w:rsidR="00000000" w:rsidRPr="00000000">
        <w:rPr>
          <w:color w:val="000000"/>
          <w:sz w:val="24"/>
          <w:szCs w:val="24"/>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9D">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ksv4uv" w:id="22"/>
      <w:bookmarkEnd w:id="22"/>
      <w:r w:rsidDel="00000000" w:rsidR="00000000" w:rsidRPr="00000000">
        <w:rPr>
          <w:color w:val="000000"/>
          <w:sz w:val="24"/>
          <w:szCs w:val="24"/>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9E">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4sinio" w:id="23"/>
      <w:bookmarkEnd w:id="23"/>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9F">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2jxsxqh" w:id="24"/>
      <w:bookmarkEnd w:id="24"/>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A0">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A1">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504" w:hanging="720"/>
        <w:jc w:val="left"/>
        <w:rPr>
          <w:rFonts w:ascii="Arial Bold" w:cs="Arial Bold" w:eastAsia="Arial Bold" w:hAnsi="Arial Bold"/>
          <w:b w:val="1"/>
          <w:color w:val="000000"/>
          <w:sz w:val="24"/>
          <w:szCs w:val="24"/>
        </w:rPr>
      </w:pPr>
      <w:bookmarkStart w:colFirst="0" w:colLast="0" w:name="_heading=h.z337ya" w:id="25"/>
      <w:bookmarkEnd w:id="25"/>
      <w:r w:rsidDel="00000000" w:rsidR="00000000" w:rsidRPr="00000000">
        <w:rPr>
          <w:rFonts w:ascii="Arial Bold" w:cs="Arial Bold" w:eastAsia="Arial Bold" w:hAnsi="Arial Bold"/>
          <w:b w:val="1"/>
          <w:color w:val="000000"/>
          <w:sz w:val="24"/>
          <w:szCs w:val="24"/>
          <w:rtl w:val="0"/>
        </w:rPr>
        <w:t xml:space="preserve">Testing the BCDR Plan</w:t>
      </w:r>
    </w:p>
    <w:p w:rsidR="00000000" w:rsidDel="00000000" w:rsidP="00000000" w:rsidRDefault="00000000" w:rsidRPr="00000000" w14:paraId="000000A2">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j2qqm3" w:id="26"/>
      <w:bookmarkEnd w:id="26"/>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A3">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A4">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A5">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A6">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y810tw" w:id="27"/>
      <w:bookmarkEnd w:id="27"/>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A7">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A8">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A9">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AA">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AB">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AC">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AD">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i7ojhp" w:id="28"/>
      <w:bookmarkEnd w:id="28"/>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AE">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20" w:hanging="720"/>
        <w:jc w:val="left"/>
        <w:rPr>
          <w:rFonts w:ascii="Arial Bold" w:cs="Arial Bold" w:eastAsia="Arial Bold" w:hAnsi="Arial Bold"/>
          <w:b w:val="1"/>
          <w:color w:val="000000"/>
          <w:sz w:val="24"/>
          <w:szCs w:val="24"/>
        </w:rPr>
      </w:pPr>
      <w:bookmarkStart w:colFirst="0" w:colLast="0" w:name="_heading=h.2xcytpi" w:id="29"/>
      <w:bookmarkEnd w:id="29"/>
      <w:r w:rsidDel="00000000" w:rsidR="00000000" w:rsidRPr="00000000">
        <w:rPr>
          <w:rFonts w:ascii="Arial Bold" w:cs="Arial Bold" w:eastAsia="Arial Bold" w:hAnsi="Arial Bold"/>
          <w:b w:val="1"/>
          <w:color w:val="000000"/>
          <w:sz w:val="24"/>
          <w:szCs w:val="24"/>
          <w:rtl w:val="0"/>
        </w:rPr>
        <w:t xml:space="preserve">Invoking the BCDR Plan</w:t>
      </w:r>
    </w:p>
    <w:p w:rsidR="00000000" w:rsidDel="00000000" w:rsidP="00000000" w:rsidRDefault="00000000" w:rsidRPr="00000000" w14:paraId="000000AF">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B0">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heading=h.vx1227" w:id="30"/>
      <w:bookmarkEnd w:id="30"/>
      <w:r w:rsidDel="00000000" w:rsidR="00000000" w:rsidRPr="00000000">
        <w:rPr>
          <w:sz w:val="24"/>
          <w:szCs w:val="24"/>
          <w:rtl w:val="0"/>
        </w:rPr>
        <w:t xml:space="preserve">The </w:t>
      </w:r>
      <w:r w:rsidDel="00000000" w:rsidR="00000000" w:rsidRPr="00000000">
        <w:rPr>
          <w:color w:val="000000"/>
          <w:sz w:val="24"/>
          <w:szCs w:val="24"/>
          <w:rtl w:val="0"/>
        </w:rPr>
        <w:t xml:space="preserve">Insolvency</w:t>
      </w:r>
      <w:r w:rsidDel="00000000" w:rsidR="00000000" w:rsidRPr="00000000">
        <w:rPr>
          <w:sz w:val="24"/>
          <w:szCs w:val="24"/>
          <w:rtl w:val="0"/>
        </w:rPr>
        <w:t xml:space="preserve"> Continuity Plan element of the BCDR Plan, including any linked elements in other parts of the BCDR Plan, shall be invoked by the Supplier:</w:t>
      </w:r>
    </w:p>
    <w:p w:rsidR="00000000" w:rsidDel="00000000" w:rsidP="00000000" w:rsidRDefault="00000000" w:rsidRPr="00000000" w14:paraId="000000B1">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B2">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where there is an Insolvency Event of the Supplier and the insolvency arrangements enable the Supplier to invoke the plan.</w:t>
      </w:r>
    </w:p>
    <w:p w:rsidR="00000000" w:rsidDel="00000000" w:rsidP="00000000" w:rsidRDefault="00000000" w:rsidRPr="00000000" w14:paraId="000000B3">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504" w:hanging="720"/>
        <w:jc w:val="left"/>
        <w:rPr>
          <w:b w:val="1"/>
          <w:smallCaps w:val="1"/>
          <w:color w:val="000000"/>
          <w:sz w:val="24"/>
          <w:szCs w:val="24"/>
        </w:rPr>
      </w:pPr>
      <w:r w:rsidDel="00000000" w:rsidR="00000000" w:rsidRPr="00000000">
        <w:rPr>
          <w:b w:val="1"/>
          <w:smallCaps w:val="1"/>
          <w:color w:val="000000"/>
          <w:sz w:val="24"/>
          <w:szCs w:val="24"/>
          <w:rtl w:val="0"/>
        </w:rPr>
        <w:t xml:space="preserve">C</w:t>
      </w:r>
      <w:r w:rsidDel="00000000" w:rsidR="00000000" w:rsidRPr="00000000">
        <w:rPr>
          <w:rFonts w:ascii="Arial Bold" w:cs="Arial Bold" w:eastAsia="Arial Bold" w:hAnsi="Arial Bold"/>
          <w:b w:val="1"/>
          <w:color w:val="000000"/>
          <w:sz w:val="24"/>
          <w:szCs w:val="24"/>
          <w:rtl w:val="0"/>
        </w:rPr>
        <w:t xml:space="preserve">ircumstances beyond your control</w:t>
      </w:r>
      <w:r w:rsidDel="00000000" w:rsidR="00000000" w:rsidRPr="00000000">
        <w:rPr>
          <w:rtl w:val="0"/>
        </w:rPr>
      </w:r>
    </w:p>
    <w:p w:rsidR="00000000" w:rsidDel="00000000" w:rsidP="00000000" w:rsidRDefault="00000000" w:rsidRPr="00000000" w14:paraId="000000B4">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B5">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504" w:hanging="93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Amendments to this Schedule in respect of Bronze Contracts</w:t>
      </w:r>
    </w:p>
    <w:p w:rsidR="00000000" w:rsidDel="00000000" w:rsidP="00000000" w:rsidRDefault="00000000" w:rsidRPr="00000000" w14:paraId="000000B6">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a Buyer’s Call-Off Contract is a Bronze Contract, if specified in the Order Form, the following provisions of this Call-Off Schedule 8, shall be disapplied in respect of that Contract:</w:t>
      </w:r>
    </w:p>
    <w:p w:rsidR="00000000" w:rsidDel="00000000" w:rsidP="00000000" w:rsidRDefault="00000000" w:rsidRPr="00000000" w14:paraId="000000B7">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1.3.4 of Part A so that the BCDR plan shall only be required to be split into the three sections detailed in paragraphs 1.3.1 to 1.3.3 inclusive;</w:t>
      </w:r>
    </w:p>
    <w:p w:rsidR="00000000" w:rsidDel="00000000" w:rsidP="00000000" w:rsidRDefault="00000000" w:rsidRPr="00000000" w14:paraId="000000B8">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Paragraphs 2.1.13 to 2.1.15 of Part A, inclusive;</w:t>
      </w:r>
    </w:p>
    <w:p w:rsidR="00000000" w:rsidDel="00000000" w:rsidP="00000000" w:rsidRDefault="00000000" w:rsidRPr="00000000" w14:paraId="000000B9">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5 (Insolvency Continuity Plan) of Part A;</w:t>
      </w:r>
    </w:p>
    <w:p w:rsidR="00000000" w:rsidDel="00000000" w:rsidP="00000000" w:rsidRDefault="00000000" w:rsidRPr="00000000" w14:paraId="000000BA">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8.2 of Part A; and</w:t>
      </w:r>
    </w:p>
    <w:p w:rsidR="00000000" w:rsidDel="00000000" w:rsidP="00000000" w:rsidRDefault="00000000" w:rsidRPr="00000000" w14:paraId="000000BB">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entirety of Part B of this Schedule.</w:t>
      </w:r>
    </w:p>
    <w:p w:rsidR="00000000" w:rsidDel="00000000" w:rsidP="00000000" w:rsidRDefault="00000000" w:rsidRPr="00000000" w14:paraId="000000BC">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a Buyer’s Call-Off Contract is a Bronze Contract, if specified in the Order Form, the following definitions in Paragraph 1 of this Call-Off Schedule 8, shall be deemed to be deleted:</w:t>
      </w:r>
    </w:p>
    <w:p w:rsidR="00000000" w:rsidDel="00000000" w:rsidP="00000000" w:rsidRDefault="00000000" w:rsidRPr="00000000" w14:paraId="000000BD">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Annual Review;</w:t>
      </w:r>
    </w:p>
    <w:p w:rsidR="00000000" w:rsidDel="00000000" w:rsidP="00000000" w:rsidRDefault="00000000" w:rsidRPr="00000000" w14:paraId="000000BE">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Appropriate Authority or Appropriate Authorities;</w:t>
      </w:r>
    </w:p>
    <w:p w:rsidR="00000000" w:rsidDel="00000000" w:rsidP="00000000" w:rsidRDefault="00000000" w:rsidRPr="00000000" w14:paraId="000000BF">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Associates;</w:t>
      </w:r>
    </w:p>
    <w:p w:rsidR="00000000" w:rsidDel="00000000" w:rsidP="00000000" w:rsidRDefault="00000000" w:rsidRPr="00000000" w14:paraId="000000C0">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Class 1 Transaction;</w:t>
      </w:r>
    </w:p>
    <w:p w:rsidR="00000000" w:rsidDel="00000000" w:rsidP="00000000" w:rsidRDefault="00000000" w:rsidRPr="00000000" w14:paraId="000000C1">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Control;</w:t>
      </w:r>
    </w:p>
    <w:p w:rsidR="00000000" w:rsidDel="00000000" w:rsidP="00000000" w:rsidRDefault="00000000" w:rsidRPr="00000000" w14:paraId="000000C2">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Corporate Change Event;</w:t>
      </w:r>
    </w:p>
    <w:p w:rsidR="00000000" w:rsidDel="00000000" w:rsidP="00000000" w:rsidRDefault="00000000" w:rsidRPr="00000000" w14:paraId="000000C3">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Critical National Infrastructure;</w:t>
      </w:r>
    </w:p>
    <w:p w:rsidR="00000000" w:rsidDel="00000000" w:rsidP="00000000" w:rsidRDefault="00000000" w:rsidRPr="00000000" w14:paraId="000000C4">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Critical Service Contract;</w:t>
      </w:r>
    </w:p>
    <w:p w:rsidR="00000000" w:rsidDel="00000000" w:rsidP="00000000" w:rsidRDefault="00000000" w:rsidRPr="00000000" w14:paraId="000000C5">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CRP Information;</w:t>
      </w:r>
    </w:p>
    <w:p w:rsidR="00000000" w:rsidDel="00000000" w:rsidP="00000000" w:rsidRDefault="00000000" w:rsidRPr="00000000" w14:paraId="000000C6">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Dependent Parent Undertaking;</w:t>
      </w:r>
    </w:p>
    <w:p w:rsidR="00000000" w:rsidDel="00000000" w:rsidP="00000000" w:rsidRDefault="00000000" w:rsidRPr="00000000" w14:paraId="000000C7">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C8">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Parent Undertaking;</w:t>
      </w:r>
    </w:p>
    <w:p w:rsidR="00000000" w:rsidDel="00000000" w:rsidP="00000000" w:rsidRDefault="00000000" w:rsidRPr="00000000" w14:paraId="000000C9">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Public Sector Dependent Supplier;</w:t>
      </w:r>
    </w:p>
    <w:p w:rsidR="00000000" w:rsidDel="00000000" w:rsidP="00000000" w:rsidRDefault="00000000" w:rsidRPr="00000000" w14:paraId="000000CA">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Subsidiary Undertaking;</w:t>
      </w:r>
    </w:p>
    <w:p w:rsidR="00000000" w:rsidDel="00000000" w:rsidP="00000000" w:rsidRDefault="00000000" w:rsidRPr="00000000" w14:paraId="000000CB">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Supplier Group;</w:t>
      </w:r>
    </w:p>
    <w:p w:rsidR="00000000" w:rsidDel="00000000" w:rsidP="00000000" w:rsidRDefault="00000000" w:rsidRPr="00000000" w14:paraId="000000CC">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UK Public Sector Business; and</w:t>
      </w:r>
    </w:p>
    <w:p w:rsidR="00000000" w:rsidDel="00000000" w:rsidP="00000000" w:rsidRDefault="00000000" w:rsidRPr="00000000" w14:paraId="000000CD">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UK Public Sector/CNI Contract Information.</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F">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before="120" w:lineRule="auto"/>
        <w:ind w:left="720" w:hanging="720"/>
        <w:rPr>
          <w:b w:val="1"/>
          <w:color w:val="000000"/>
          <w:sz w:val="32"/>
          <w:szCs w:val="32"/>
        </w:rPr>
      </w:pPr>
      <w:r w:rsidDel="00000000" w:rsidR="00000000" w:rsidRPr="00000000">
        <w:rPr>
          <w:b w:val="1"/>
          <w:color w:val="000000"/>
          <w:sz w:val="32"/>
          <w:szCs w:val="32"/>
          <w:rtl w:val="0"/>
        </w:rPr>
        <w:t xml:space="preserve">Part B:  Corporate Resolution Planning</w:t>
      </w:r>
    </w:p>
    <w:p w:rsidR="00000000" w:rsidDel="00000000" w:rsidP="00000000" w:rsidRDefault="00000000" w:rsidRPr="00000000" w14:paraId="000000D1">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D2">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D3">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notify the Buyer in writing within 5 Working Days of the Effective Date and throughout the Call-Off Contract Period within 120 days after each Accounting Reference Date as to whether or not it is a Public Sector Dependent Supplier.</w:t>
      </w:r>
    </w:p>
    <w:p w:rsidR="00000000" w:rsidDel="00000000" w:rsidP="00000000" w:rsidRDefault="00000000" w:rsidRPr="00000000" w14:paraId="000000D4">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D5">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Paragraphs 2 to 4 of this Part B shall apply if the Contract has been specified as a Critical Service Contract under Paragraph 1.1 of this Part B or the Supplier is or becomes a Public Sector Dependent Supplier.</w:t>
      </w:r>
    </w:p>
    <w:p w:rsidR="00000000" w:rsidDel="00000000" w:rsidP="00000000" w:rsidRDefault="00000000" w:rsidRPr="00000000" w14:paraId="000000D6">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Paragraphs 2.6, 2.10 and 2.11 of this Part B:</w:t>
      </w:r>
    </w:p>
    <w:p w:rsidR="00000000" w:rsidDel="00000000" w:rsidP="00000000" w:rsidRDefault="00000000" w:rsidRPr="00000000" w14:paraId="000000D7">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D8">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D9">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ensure that the CRP Information provided pursuant to Paragraphs 2.2, 2.8 and 2.9 of this Part B:</w:t>
      </w:r>
    </w:p>
    <w:p w:rsidR="00000000" w:rsidDel="00000000" w:rsidP="00000000" w:rsidRDefault="00000000" w:rsidRPr="00000000" w14:paraId="000000DA">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DB">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two parts:</w:t>
      </w:r>
    </w:p>
    <w:p w:rsidR="00000000" w:rsidDel="00000000" w:rsidP="00000000" w:rsidRDefault="00000000" w:rsidRPr="00000000" w14:paraId="000000D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DD">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rsidR="00000000" w:rsidDel="00000000" w:rsidP="00000000" w:rsidRDefault="00000000" w:rsidRPr="00000000" w14:paraId="000000DE">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DF">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E0">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Appendix 1 (Group Structure Information and Resolution Commentary) and Appendix 2 (UK Public Sector / CNI Contract Information) respectively.</w:t>
      </w:r>
    </w:p>
    <w:p w:rsidR="00000000" w:rsidDel="00000000" w:rsidP="00000000" w:rsidRDefault="00000000" w:rsidRPr="00000000" w14:paraId="000000E1">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2.2, 2.8 and 2.9 of this Part B,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p>
    <w:p w:rsidR="00000000" w:rsidDel="00000000" w:rsidP="00000000" w:rsidRDefault="00000000" w:rsidRPr="00000000" w14:paraId="000000E2">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Appropriate Authority or Appropriate Authorities rejects the CRP Information:</w:t>
      </w:r>
    </w:p>
    <w:p w:rsidR="00000000" w:rsidDel="00000000" w:rsidP="00000000" w:rsidRDefault="00000000" w:rsidRPr="00000000" w14:paraId="000000E3">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E4">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B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E5">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2.7 below) on the date by which the CRP Information would otherwise be required, the Supplier shall not be required to provide the CRP Information under Paragraph 2.2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E6">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An Assurance shall be deemed Valid for the purposes of Paragraph 2.6 of this Part B if:</w:t>
      </w:r>
    </w:p>
    <w:p w:rsidR="00000000" w:rsidDel="00000000" w:rsidP="00000000" w:rsidRDefault="00000000" w:rsidRPr="00000000" w14:paraId="000000E7">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E8">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E9">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2.8.3 of this Part B its initial CRP Information) to the Appropriate Authority or Appropriate Authorities:</w:t>
      </w:r>
    </w:p>
    <w:p w:rsidR="00000000" w:rsidDel="00000000" w:rsidP="00000000" w:rsidRDefault="00000000" w:rsidRPr="00000000" w14:paraId="000000EA">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2.11 of this Part B) unless the Supplier is relieved of the consequences of the Financial Distress Event under Paragraph 7.1 of Joint Schedule 7 (Financial Distress) (if applicable);</w:t>
      </w:r>
    </w:p>
    <w:p w:rsidR="00000000" w:rsidDel="00000000" w:rsidP="00000000" w:rsidRDefault="00000000" w:rsidRPr="00000000" w14:paraId="000000EB">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 not required pursuant to Paragraph 2.10;</w:t>
      </w:r>
    </w:p>
    <w:p w:rsidR="00000000" w:rsidDel="00000000" w:rsidP="00000000" w:rsidRDefault="00000000" w:rsidRPr="00000000" w14:paraId="000000EC">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ED">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2.10; or</w:t>
      </w:r>
    </w:p>
    <w:p w:rsidR="00000000" w:rsidDel="00000000" w:rsidP="00000000" w:rsidRDefault="00000000" w:rsidRPr="00000000" w14:paraId="000000EE">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none of the credit rating agencies specified at Paragraph 2.10 hold a public credit rating for the Supplier or any of its Parent Undertakings; and</w:t>
      </w:r>
    </w:p>
    <w:p w:rsidR="00000000" w:rsidDel="00000000" w:rsidP="00000000" w:rsidRDefault="00000000" w:rsidRPr="00000000" w14:paraId="000000EF">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F0">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updated CRP Information has been provided under any of Paragraphs 2.8.1 2.8.2 or 2.8.3 since the most recent Accounting Reference Date (being no more than 12 months previously) within the timescales that would ordinarily be required for the provision of that information under this Paragraph 2.8.4; or</w:t>
      </w:r>
    </w:p>
    <w:p w:rsidR="00000000" w:rsidDel="00000000" w:rsidP="00000000" w:rsidRDefault="00000000" w:rsidRPr="00000000" w14:paraId="000000F1">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unless not required pursuant to Paragraph 2.10.</w:t>
      </w:r>
    </w:p>
    <w:p w:rsidR="00000000" w:rsidDel="00000000" w:rsidP="00000000" w:rsidRDefault="00000000" w:rsidRPr="00000000" w14:paraId="000000F2">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2.8.1 to 2.8.4 of this Part B,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Authority or Appropriate Authorities.</w:t>
      </w:r>
    </w:p>
    <w:p w:rsidR="00000000" w:rsidDel="00000000" w:rsidP="00000000" w:rsidRDefault="00000000" w:rsidRPr="00000000" w14:paraId="000000F3">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Parent Undertaking of the Supplier has a credit rating of either:</w:t>
      </w:r>
    </w:p>
    <w:p w:rsidR="00000000" w:rsidDel="00000000" w:rsidP="00000000" w:rsidRDefault="00000000" w:rsidRPr="00000000" w14:paraId="000000F4">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F5">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F6">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F7">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Paragraph 7.1 of Joint Schedule 7 (Financial Distress), if applicable) or (ii) the Supplier and its Parent Undertakings cease to fulfil the criteria set out in this Paragraph 2.10, in which cases the Supplier shall provide the updated version of the CRP Information in accordance with paragraph 2.8.</w:t>
      </w:r>
    </w:p>
    <w:p w:rsidR="00000000" w:rsidDel="00000000" w:rsidP="00000000" w:rsidRDefault="00000000" w:rsidRPr="00000000" w14:paraId="000000F8">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2.8.</w:t>
      </w:r>
    </w:p>
    <w:p w:rsidR="00000000" w:rsidDel="00000000" w:rsidP="00000000" w:rsidRDefault="00000000" w:rsidRPr="00000000" w14:paraId="000000F9">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FA">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2 of this Part B and either:</w:t>
      </w:r>
    </w:p>
    <w:p w:rsidR="00000000" w:rsidDel="00000000" w:rsidP="00000000" w:rsidRDefault="00000000" w:rsidRPr="00000000" w14:paraId="000000FB">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Effective Date if this is a Critical Service Contract or otherwise within 4 months of the Appropriate Authority’s or Appropriate Authorities’ request; or</w:t>
      </w:r>
    </w:p>
    <w:p w:rsidR="00000000" w:rsidDel="00000000" w:rsidP="00000000" w:rsidRDefault="00000000" w:rsidRPr="00000000" w14:paraId="000000FC">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FE">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FF">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100">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heading=h.23ckvvd" w:id="31"/>
      <w:bookmarkEnd w:id="31"/>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4.1 of this Part B and Clause 15 of the Core Terms.</w:t>
      </w:r>
    </w:p>
    <w:p w:rsidR="00000000" w:rsidDel="00000000" w:rsidP="00000000" w:rsidRDefault="00000000" w:rsidRPr="00000000" w14:paraId="00000101">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2 of this Part B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102">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unable to procure consent pursuant to Paragraph 4.3 of this Part B,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103">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104">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105">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106">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10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108">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109">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0B">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0C">
      <w:pPr>
        <w:ind w:left="0" w:firstLine="0"/>
        <w:rPr>
          <w:b w:val="1"/>
          <w:sz w:val="32"/>
          <w:szCs w:val="32"/>
        </w:rPr>
      </w:pPr>
      <w:r w:rsidDel="00000000" w:rsidR="00000000" w:rsidRPr="00000000">
        <w:rPr>
          <w:b w:val="1"/>
          <w:sz w:val="32"/>
          <w:szCs w:val="32"/>
          <w:rtl w:val="0"/>
        </w:rPr>
        <w:t xml:space="preserve">Appendix 1: Group structure information and resolution commentary</w:t>
      </w:r>
    </w:p>
    <w:p w:rsidR="00000000" w:rsidDel="00000000" w:rsidP="00000000" w:rsidRDefault="00000000" w:rsidRPr="00000000" w14:paraId="0000010D">
      <w:pPr>
        <w:numPr>
          <w:ilvl w:val="0"/>
          <w:numId w:val="2"/>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0E">
      <w:pPr>
        <w:numPr>
          <w:ilvl w:val="1"/>
          <w:numId w:val="2"/>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rsidR="00000000" w:rsidDel="00000000" w:rsidP="00000000" w:rsidRDefault="00000000" w:rsidRPr="00000000" w14:paraId="0000010F">
      <w:pPr>
        <w:numPr>
          <w:ilvl w:val="1"/>
          <w:numId w:val="2"/>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110">
      <w:pPr>
        <w:numPr>
          <w:ilvl w:val="1"/>
          <w:numId w:val="2"/>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full details of the importance of each member of the Supplier Group to the Supplier Group’s UK Public Sector Business and CNI contracts listed pursuant to Appendix 2 and the dependencies between each.</w:t>
      </w:r>
    </w:p>
    <w:p w:rsidR="00000000" w:rsidDel="00000000" w:rsidP="00000000" w:rsidRDefault="00000000" w:rsidRPr="00000000" w14:paraId="00000111">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12">
      <w:pPr>
        <w:ind w:left="0" w:firstLine="0"/>
        <w:rPr>
          <w:b w:val="1"/>
          <w:sz w:val="32"/>
          <w:szCs w:val="32"/>
        </w:rPr>
      </w:pPr>
      <w:r w:rsidDel="00000000" w:rsidR="00000000" w:rsidRPr="00000000">
        <w:rPr>
          <w:b w:val="1"/>
          <w:sz w:val="32"/>
          <w:szCs w:val="32"/>
          <w:rtl w:val="0"/>
        </w:rPr>
        <w:t xml:space="preserve">Appendix 2: UK Public Sector / CNI Contract Information</w:t>
      </w:r>
    </w:p>
    <w:p w:rsidR="00000000" w:rsidDel="00000000" w:rsidP="00000000" w:rsidRDefault="00000000" w:rsidRPr="00000000" w14:paraId="00000113">
      <w:pPr>
        <w:numPr>
          <w:ilvl w:val="0"/>
          <w:numId w:val="3"/>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14">
      <w:pPr>
        <w:numPr>
          <w:ilvl w:val="1"/>
          <w:numId w:val="3"/>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115">
      <w:pPr>
        <w:numPr>
          <w:ilvl w:val="2"/>
          <w:numId w:val="3"/>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000000" w:rsidDel="00000000" w:rsidP="00000000" w:rsidRDefault="00000000" w:rsidRPr="00000000" w14:paraId="00000116">
      <w:pPr>
        <w:numPr>
          <w:ilvl w:val="2"/>
          <w:numId w:val="3"/>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rsidR="00000000" w:rsidDel="00000000" w:rsidP="00000000" w:rsidRDefault="00000000" w:rsidRPr="00000000" w14:paraId="00000117">
      <w:pPr>
        <w:numPr>
          <w:ilvl w:val="2"/>
          <w:numId w:val="3"/>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involve or could reasonably be considered to involve CNI;</w:t>
      </w:r>
    </w:p>
    <w:p w:rsidR="00000000" w:rsidDel="00000000" w:rsidP="00000000" w:rsidRDefault="00000000" w:rsidRPr="00000000" w14:paraId="00000118">
      <w:pPr>
        <w:numPr>
          <w:ilvl w:val="1"/>
          <w:numId w:val="3"/>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F">
    <w:pPr>
      <w:tabs>
        <w:tab w:val="center" w:pos="4513"/>
        <w:tab w:val="right"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RM6278</w:t>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3</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11C">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11D">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11E">
    <w:pPr>
      <w:tabs>
        <w:tab w:val="center" w:pos="4513"/>
        <w:tab w:val="right"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val="1"/>
      <w:keepLines w:val="1"/>
      <w:spacing w:after="120" w:before="480"/>
      <w:outlineLvl w:val="0"/>
    </w:pPr>
    <w:rPr>
      <w:b w:val="1"/>
      <w:sz w:val="48"/>
      <w:szCs w:val="48"/>
    </w:rPr>
  </w:style>
  <w:style w:type="paragraph" w:styleId="Heading2">
    <w:name w:val="heading 2"/>
    <w:basedOn w:val="Normal"/>
    <w:next w:val="Normal"/>
    <w:rsid w:val="0052154C"/>
    <w:pPr>
      <w:keepNext w:val="1"/>
      <w:keepLines w:val="1"/>
      <w:spacing w:after="80" w:before="360"/>
      <w:outlineLvl w:val="1"/>
    </w:pPr>
    <w:rPr>
      <w:b w:val="1"/>
      <w:sz w:val="36"/>
      <w:szCs w:val="36"/>
    </w:rPr>
  </w:style>
  <w:style w:type="paragraph" w:styleId="Heading3">
    <w:name w:val="heading 3"/>
    <w:basedOn w:val="Normal"/>
    <w:next w:val="Normal"/>
    <w:rsid w:val="0052154C"/>
    <w:pPr>
      <w:keepNext w:val="1"/>
      <w:keepLines w:val="1"/>
      <w:spacing w:after="80" w:before="280"/>
      <w:outlineLvl w:val="2"/>
    </w:pPr>
    <w:rPr>
      <w:b w:val="1"/>
      <w:sz w:val="28"/>
      <w:szCs w:val="28"/>
    </w:rPr>
  </w:style>
  <w:style w:type="paragraph" w:styleId="Heading4">
    <w:name w:val="heading 4"/>
    <w:basedOn w:val="Normal"/>
    <w:next w:val="Normal"/>
    <w:rsid w:val="0052154C"/>
    <w:pPr>
      <w:keepNext w:val="1"/>
      <w:keepLines w:val="1"/>
      <w:spacing w:after="40" w:before="240"/>
      <w:outlineLvl w:val="3"/>
    </w:pPr>
    <w:rPr>
      <w:b w:val="1"/>
      <w:sz w:val="24"/>
      <w:szCs w:val="24"/>
    </w:rPr>
  </w:style>
  <w:style w:type="paragraph" w:styleId="Heading5">
    <w:name w:val="heading 5"/>
    <w:basedOn w:val="Normal"/>
    <w:next w:val="Normal"/>
    <w:rsid w:val="0052154C"/>
    <w:pPr>
      <w:keepNext w:val="1"/>
      <w:keepLines w:val="1"/>
      <w:spacing w:after="40" w:before="220"/>
      <w:outlineLvl w:val="4"/>
    </w:pPr>
    <w:rPr>
      <w:b w:val="1"/>
    </w:rPr>
  </w:style>
  <w:style w:type="paragraph" w:styleId="Heading6">
    <w:name w:val="heading 6"/>
    <w:basedOn w:val="Normal"/>
    <w:next w:val="Normal"/>
    <w:rsid w:val="0052154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52154C"/>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52154C"/>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rsid w:val="0052154C"/>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52154C"/>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rsid w:val="0052154C"/>
    <w:pPr>
      <w:numPr>
        <w:ilvl w:val="4"/>
      </w:numPr>
      <w:tabs>
        <w:tab w:val="num" w:pos="360"/>
        <w:tab w:val="left" w:pos="3402"/>
      </w:tabs>
    </w:pPr>
  </w:style>
  <w:style w:type="paragraph" w:styleId="GPSL6numbered" w:customStyle="1">
    <w:name w:val="GPS L6 numbered"/>
    <w:basedOn w:val="GPSL5numberedclause"/>
    <w:qFormat w:val="1"/>
    <w:rsid w:val="0052154C"/>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52154C"/>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52154C"/>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6"/>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6"/>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6"/>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6"/>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tabs>
        <w:tab w:val="num" w:pos="720"/>
      </w:tabs>
      <w:overflowPunct w:val="1"/>
      <w:autoSpaceDE w:val="1"/>
      <w:autoSpaceDN w:val="1"/>
      <w:adjustRightInd w:val="1"/>
      <w:spacing w:after="200" w:before="100"/>
      <w:ind w:left="720" w:hanging="720"/>
      <w:jc w:val="left"/>
      <w:textAlignment w:val="auto"/>
    </w:pPr>
    <w:rPr>
      <w:rFonts w:cs="Times New Roman"/>
      <w:sz w:val="24"/>
      <w:szCs w:val="24"/>
    </w:rPr>
  </w:style>
  <w:style w:type="paragraph" w:styleId="BulletsLevel1" w:customStyle="1">
    <w:name w:val="Bullets Level 1"/>
    <w:basedOn w:val="Normal"/>
    <w:rsid w:val="009009FB"/>
    <w:pPr>
      <w:tabs>
        <w:tab w:val="num" w:pos="1440"/>
        <w:tab w:val="left" w:pos="1797"/>
      </w:tabs>
      <w:overflowPunct w:val="1"/>
      <w:autoSpaceDE w:val="1"/>
      <w:autoSpaceDN w:val="1"/>
      <w:adjustRightInd w:val="1"/>
      <w:spacing w:after="200" w:before="100"/>
      <w:ind w:left="1440" w:hanging="72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 w:val="num" w:pos="1440"/>
      </w:tabs>
      <w:ind w:left="1440" w:hanging="720"/>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tabs>
        <w:tab w:val="num" w:pos="2880"/>
      </w:tabs>
      <w:ind w:left="2880" w:hanging="720"/>
    </w:pPr>
  </w:style>
  <w:style w:type="paragraph" w:styleId="AppendixText5" w:customStyle="1">
    <w:name w:val="Appendix Text 5"/>
    <w:basedOn w:val="Normal"/>
    <w:rsid w:val="00666034"/>
    <w:pPr>
      <w:tabs>
        <w:tab w:val="num" w:pos="3600"/>
      </w:tabs>
      <w:ind w:left="3600" w:hanging="720"/>
    </w:p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A203BD"/>
    <w:pPr>
      <w:ind w:left="720"/>
      <w:contextualSpacing w:val="1"/>
    </w:pPr>
  </w:style>
  <w:style w:type="table" w:styleId="a2"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0pUUdAtfc/2VHiUIDpdMEQ7X3w==">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2022-10-04T08:13:00Z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